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w="35" w:type="dxa"/>
        <w:tblBorders>
          <w:top w:val="single" w:sz="8" w:space="0" w:color="00000A"/>
          <w:left w:val="single" w:sz="8" w:space="0" w:color="00000A"/>
          <w:bottom w:val="single" w:sz="8" w:space="0" w:color="000001"/>
          <w:insideH w:val="single" w:sz="8" w:space="0" w:color="000001"/>
          <w:right w:val="nil"/>
          <w:insideV w:val="nil"/>
        </w:tblBorders>
        <w:tblCellMar>
          <w:top w:w="0" w:type="dxa"/>
          <w:left w:w="40" w:type="dxa"/>
          <w:bottom w:w="0" w:type="dxa"/>
          <w:right w:w="70" w:type="dxa"/>
        </w:tblCellMar>
      </w:tblPr>
      <w:tblGrid>
        <w:gridCol w:w="4994"/>
        <w:gridCol w:w="2145"/>
        <w:gridCol w:w="2326"/>
      </w:tblGrid>
      <w:tr>
        <w:trPr>
          <w:trHeight w:val="362" w:hRule="atLeast"/>
          <w:cantSplit w:val="false"/>
        </w:trPr>
        <w:tc>
          <w:tcPr>
            <w:tcW w:w="4994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CCCC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Zestaw do terapii podciśnieniowej VAC</w:t>
            </w:r>
            <w:bookmarkStart w:id="0" w:name="_GoBack"/>
            <w:bookmarkEnd w:id="0"/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 xml:space="preserve"> z wyposażeniem</w:t>
            </w:r>
          </w:p>
        </w:tc>
        <w:tc>
          <w:tcPr>
            <w:tcW w:w="2145" w:type="dxa"/>
            <w:vMerge w:val="restart"/>
            <w:tcBorders>
              <w:top w:val="single" w:sz="8" w:space="0" w:color="00000A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CCCC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Parametr wymagany</w:t>
            </w:r>
          </w:p>
        </w:tc>
        <w:tc>
          <w:tcPr>
            <w:tcW w:w="2326" w:type="dxa"/>
            <w:vMerge w:val="restart"/>
            <w:tcBorders>
              <w:top w:val="single" w:sz="8" w:space="0" w:color="00000A"/>
              <w:left w:val="nil"/>
              <w:bottom w:val="single" w:sz="8" w:space="0" w:color="000001"/>
              <w:insideH w:val="single" w:sz="8" w:space="0" w:color="000001"/>
              <w:right w:val="single" w:sz="8" w:space="0" w:color="00000A"/>
              <w:insideV w:val="single" w:sz="8" w:space="0" w:color="00000A"/>
            </w:tcBorders>
            <w:shd w:fill="CCCC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Parametr oferowany</w:t>
            </w:r>
          </w:p>
        </w:tc>
      </w:tr>
      <w:tr>
        <w:trPr>
          <w:trHeight w:val="375" w:hRule="atLeast"/>
          <w:cantSplit w:val="false"/>
        </w:trPr>
        <w:tc>
          <w:tcPr>
            <w:tcW w:w="4994" w:type="dxa"/>
            <w:vMerge w:val="continue"/>
            <w:tcBorders>
              <w:top w:val="single" w:sz="8" w:space="0" w:color="00000A"/>
              <w:left w:val="single" w:sz="8" w:space="0" w:color="00000A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r>
          </w:p>
        </w:tc>
        <w:tc>
          <w:tcPr>
            <w:tcW w:w="2145" w:type="dxa"/>
            <w:vMerge w:val="continue"/>
            <w:tcBorders>
              <w:top w:val="single" w:sz="8" w:space="0" w:color="00000A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CCCC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r>
          </w:p>
        </w:tc>
        <w:tc>
          <w:tcPr>
            <w:tcW w:w="2326" w:type="dxa"/>
            <w:vMerge w:val="continue"/>
            <w:tcBorders>
              <w:top w:val="single" w:sz="8" w:space="0" w:color="00000A"/>
              <w:left w:val="nil"/>
              <w:bottom w:val="single" w:sz="8" w:space="0" w:color="000001"/>
              <w:insideH w:val="single" w:sz="8" w:space="0" w:color="000001"/>
              <w:right w:val="single" w:sz="8" w:space="0" w:color="00000A"/>
              <w:insideV w:val="single" w:sz="8" w:space="0" w:color="00000A"/>
            </w:tcBorders>
            <w:shd w:fill="CCCC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r>
          </w:p>
        </w:tc>
      </w:tr>
      <w:tr>
        <w:trPr>
          <w:trHeight w:val="600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Pompa podciśnieniowa, wytwarzająca ujemne ciśnienie mierzone w ranie o wartościach od 25 - 200 mm/Hg, urządzenie fabrycznie nowe rok produkcji 2019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00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Waga 2,89 kg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00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Możliwość zmiany ciśnienia co 25 mm/Hg,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00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Możliwość zastoswania terapii ciągłej lub przerywanej,w zależności od leczonej rany,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570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Możliwość regulacji natężenia niskie, średnie, wysokie ( prędkość z jaką osiągane jest ciśnienie docelowe w ranie 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00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Możliowść prowadzenia terapii przez 24 godziny,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00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Bateria wewnętrzną działającą w potrzebie przez 6 godziny,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62" w:hRule="atLeast"/>
          <w:cantSplit w:val="false"/>
        </w:trPr>
        <w:tc>
          <w:tcPr>
            <w:tcW w:w="4994" w:type="dxa"/>
            <w:vMerge w:val="restart"/>
            <w:tcBorders>
              <w:top w:val="nil"/>
              <w:left w:val="single" w:sz="8" w:space="0" w:color="00000A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 xml:space="preserve">Wbudowane ostrzeżenia i alarmy włączające się w razie nieprawidłowości wynikającymi ze strony  opatrunku, drenu, wydzieliny, kanistra, niskiego ciśnienia braku aktywności systemu terapeutycznego, alarm temperatury wewnętrznej, alarm odchyleń ciśnienia i przerwania terapii </w:t>
            </w:r>
          </w:p>
        </w:tc>
        <w:tc>
          <w:tcPr>
            <w:tcW w:w="2145" w:type="dxa"/>
            <w:vMerge w:val="restart"/>
            <w:tcBorders>
              <w:top w:val="nil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vMerge w:val="restart"/>
            <w:tcBorders>
              <w:top w:val="nil"/>
              <w:left w:val="nil"/>
              <w:bottom w:val="single" w:sz="4" w:space="0" w:color="000001"/>
              <w:insideH w:val="single" w:sz="4" w:space="0" w:color="000001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630" w:hRule="atLeast"/>
          <w:cantSplit w:val="false"/>
        </w:trPr>
        <w:tc>
          <w:tcPr>
            <w:tcW w:w="4994" w:type="dxa"/>
            <w:vMerge w:val="continue"/>
            <w:tcBorders>
              <w:top w:val="nil"/>
              <w:left w:val="single" w:sz="8" w:space="0" w:color="00000A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r>
          </w:p>
        </w:tc>
        <w:tc>
          <w:tcPr>
            <w:tcW w:w="2145" w:type="dxa"/>
            <w:vMerge w:val="continue"/>
            <w:tcBorders>
              <w:top w:val="nil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r>
          </w:p>
        </w:tc>
        <w:tc>
          <w:tcPr>
            <w:tcW w:w="2326" w:type="dxa"/>
            <w:vMerge w:val="continue"/>
            <w:tcBorders>
              <w:top w:val="nil"/>
              <w:left w:val="nil"/>
              <w:bottom w:val="single" w:sz="4" w:space="0" w:color="000001"/>
              <w:insideH w:val="single" w:sz="4" w:space="0" w:color="000001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r>
          </w:p>
        </w:tc>
      </w:tr>
      <w:tr>
        <w:trPr>
          <w:trHeight w:val="300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Ekran dotykowy z językiem polskim, z instrukcją obsługi w języku polskim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00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Opcjonalne zaprogramowane ustawienia terapii według rodzaju rany ułatwia konfigurację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570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Wbudowana pamięc pozwalająca na zapis całej terapii leczonego pacjenta, wbydowany port USB, SD card i IR umożliwiający eksport zapisanych danych terapii prowadzonych u pacjenta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570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Możliwość ustawienia menu klinicysty, pełny dostęp do menu urządzenia, tryb pacjenta ograniczajcy meny do funkcji podstawowych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570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Funkcja dziennik, umożliwia rejestrowanie liczby elementów opatrunku umieszczonych w ranie, wymiany zbiornika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75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Funkcja SealCheck ułatwia wykrywanie nieszczelności prowadzących do utraty ciśnienia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30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Funkcja obrazowania ran ułatwiający rejestrowanie postępu leczenia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615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Funkcja trybu nocnego, wyłączana automatycznie w przypadku wystąpienia alarmu (włącza się automatycznie po około 2 min)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00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Funkcja blokady ekranu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45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Możliwość bezpiecznego zamocowania urządzenia na stojaku kroplówki i/lub na poręczy łóżka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single" w:sz="4" w:space="0" w:color="00000A"/>
              <w:insideH w:val="single" w:sz="4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45" w:hRule="atLeast"/>
          <w:cantSplit w:val="false"/>
        </w:trPr>
        <w:tc>
          <w:tcPr>
            <w:tcW w:w="4994" w:type="dxa"/>
            <w:tcBorders>
              <w:top w:val="nil"/>
              <w:left w:val="single" w:sz="8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Możliwość podłączenia zbiorników 300ml, 500ml i 1000ml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insideH w:val="nil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90" w:hRule="atLeast"/>
          <w:cantSplit w:val="false"/>
        </w:trPr>
        <w:tc>
          <w:tcPr>
            <w:tcW w:w="4994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insideH w:val="single" w:sz="8" w:space="0" w:color="00000A"/>
              <w:right w:val="nil"/>
              <w:insideV w:val="nil"/>
            </w:tcBorders>
            <w:shd w:fill="FFFFFF" w:val="clear"/>
            <w:tcMar>
              <w:left w:w="4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color w:val="000000"/>
                <w:sz w:val="20"/>
                <w:szCs w:val="20"/>
                <w:lang w:eastAsia="pl-PL"/>
              </w:rPr>
              <w:t>Gwarancja min. 36 miesięcy, bezpłatny serwis min. 36 miesięcy</w:t>
            </w:r>
          </w:p>
        </w:tc>
        <w:tc>
          <w:tcPr>
            <w:tcW w:w="2145" w:type="dxa"/>
            <w:tcBorders>
              <w:top w:val="single" w:sz="4" w:space="0" w:color="00000A"/>
              <w:left w:val="nil"/>
              <w:bottom w:val="single" w:sz="8" w:space="0" w:color="00000A"/>
              <w:insideH w:val="single" w:sz="8" w:space="0" w:color="00000A"/>
              <w:right w:val="nil"/>
              <w:insideV w:val="nil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TAK</w:t>
            </w:r>
          </w:p>
        </w:tc>
        <w:tc>
          <w:tcPr>
            <w:tcW w:w="2326" w:type="dxa"/>
            <w:tcBorders>
              <w:top w:val="single" w:sz="4" w:space="0" w:color="00000A"/>
              <w:left w:val="nil"/>
              <w:bottom w:val="single" w:sz="8" w:space="0" w:color="00000A"/>
              <w:insideH w:val="single" w:sz="8" w:space="0" w:color="00000A"/>
              <w:right w:val="single" w:sz="8" w:space="0" w:color="00000A"/>
              <w:insideV w:val="single" w:sz="8" w:space="0" w:color="00000A"/>
            </w:tcBorders>
            <w:shd w:fill="FFFFFF" w:val="clear"/>
            <w:tcMar>
              <w:left w:w="60" w:type="dxa"/>
            </w:tcMar>
            <w:vAlign w:val="bottom"/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360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Wyposażenie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cs="Tahoma" w:ascii="Tahoma" w:hAnsi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Zestaw opatrunkowy do terapii podciśnieniowej 18 x 12,5 x 3,2 cm - 7 sztuk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cs="Tahoma" w:ascii="Tahoma" w:hAnsi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Zestaw opatrunkowy do terapii podciśnieniowej 10 x 7,5 x 3,2 cm - 10 sztuk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cs="Tahoma" w:ascii="Tahoma" w:hAnsi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Zbiorniki z żelem 1 000 ml - 10 sztuk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cs="Tahoma" w:ascii="Tahoma" w:hAnsi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Zbiorniki z żelem 50 ml - 10 sztuk</w:t>
      </w:r>
    </w:p>
    <w:p>
      <w:pPr>
        <w:pStyle w:val="Normal"/>
        <w:spacing w:lineRule="auto" w:line="360" w:before="0" w:after="200"/>
        <w:contextualSpacing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spacing w:before="0" w:after="200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Dostawa, montaż, uruchomienie i przeszkolenie personelu na koszt Wykonawcy.</w:t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Gwka"/>
      <w:jc w:val="right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 xml:space="preserve">Załącznik nr </w:t>
    </w:r>
    <w:r>
      <w:rPr>
        <w:rFonts w:ascii="Tahoma" w:hAnsi="Tahoma"/>
        <w:sz w:val="20"/>
        <w:szCs w:val="20"/>
      </w:rPr>
      <w:t>2</w:t>
    </w:r>
  </w:p>
  <w:p>
    <w:pPr>
      <w:pStyle w:val="Gwka"/>
      <w:jc w:val="right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Zadanie nr 5</w:t>
    </w:r>
  </w:p>
  <w:p>
    <w:pPr>
      <w:pStyle w:val="Gwka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Gwka"/>
      <w:rPr>
        <w:rFonts w:ascii="Tahoma" w:hAnsi="Tahoma"/>
        <w:b/>
        <w:bCs/>
        <w:sz w:val="20"/>
        <w:szCs w:val="20"/>
      </w:rPr>
    </w:pPr>
    <w:r>
      <w:rPr>
        <w:rFonts w:ascii="Tahoma" w:hAnsi="Tahoma"/>
        <w:b/>
        <w:bCs/>
        <w:sz w:val="20"/>
        <w:szCs w:val="20"/>
      </w:rPr>
    </w:r>
  </w:p>
  <w:p>
    <w:pPr>
      <w:pStyle w:val="Gwka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SimSun" w:cs="Mangal"/>
        <w:sz w:val="24"/>
        <w:szCs w:val="24"/>
        <w:lang w:val="pl-PL" w:eastAsia="zh-CN" w:bidi="hi-IN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931142"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SimSun" w:cs="Calibri"/>
      <w:color w:val="00000A"/>
      <w:sz w:val="22"/>
      <w:szCs w:val="22"/>
      <w:lang w:val="pl-PL" w:eastAsia="en-US" w:bidi="ar-SA"/>
    </w:rPr>
  </w:style>
  <w:style w:type="paragraph" w:styleId="Nagwek5">
    <w:name w:val="Nagłówek 5"/>
    <w:basedOn w:val="Normal"/>
    <w:next w:val="Normal"/>
    <w:pPr>
      <w:keepNext/>
      <w:jc w:val="center"/>
      <w:outlineLvl w:val="4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agwekZnak" w:customStyle="1">
    <w:name w:val="Nagłówek Znak"/>
    <w:uiPriority w:val="99"/>
    <w:semiHidden/>
    <w:link w:val="Nagwek"/>
    <w:rsid w:val="00ee24f4"/>
    <w:basedOn w:val="DefaultParagraphFont"/>
    <w:rPr/>
  </w:style>
  <w:style w:type="character" w:styleId="StopkaZnak" w:customStyle="1">
    <w:name w:val="Stopka Znak"/>
    <w:uiPriority w:val="99"/>
    <w:semiHidden/>
    <w:link w:val="Stopka"/>
    <w:rsid w:val="00ee24f4"/>
    <w:basedOn w:val="DefaultParagraphFont"/>
    <w:rPr/>
  </w:style>
  <w:style w:type="character" w:styleId="WW8Num1z0">
    <w:name w:val="WW8Num1z0"/>
    <w:rPr/>
  </w:style>
  <w:style w:type="character" w:styleId="WW8Num1z1">
    <w:name w:val="WW8Num1z1"/>
    <w:rPr/>
  </w:style>
  <w:style w:type="character" w:styleId="WW8Num1z2">
    <w:name w:val="WW8Num1z2"/>
    <w:rPr/>
  </w:style>
  <w:style w:type="character" w:styleId="WW8Num1z3">
    <w:name w:val="WW8Num1z3"/>
    <w:rPr/>
  </w:style>
  <w:style w:type="character" w:styleId="WW8Num1z4">
    <w:name w:val="WW8Num1z4"/>
    <w:rPr/>
  </w:style>
  <w:style w:type="character" w:styleId="WW8Num1z5">
    <w:name w:val="WW8Num1z5"/>
    <w:rPr/>
  </w:style>
  <w:style w:type="character" w:styleId="WW8Num1z6">
    <w:name w:val="WW8Num1z6"/>
    <w:rPr/>
  </w:style>
  <w:style w:type="character" w:styleId="WW8Num1z7">
    <w:name w:val="WW8Num1z7"/>
    <w:rPr/>
  </w:style>
  <w:style w:type="character" w:styleId="WW8Num1z8">
    <w:name w:val="WW8Num1z8"/>
    <w:rPr/>
  </w:style>
  <w:style w:type="character" w:styleId="WW8Num2z0">
    <w:name w:val="WW8Num2z0"/>
    <w:rPr/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Domylnaczcionkaakapitu">
    <w:name w:val="Domyślna czcionka akapitu"/>
    <w:rPr/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Gwka">
    <w:name w:val="Główka"/>
    <w:uiPriority w:val="99"/>
    <w:semiHidden/>
    <w:unhideWhenUsed/>
    <w:link w:val="NagwekZnak"/>
    <w:rsid w:val="00ee24f4"/>
    <w:basedOn w:val="Normal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uiPriority w:val="99"/>
    <w:semiHidden/>
    <w:unhideWhenUsed/>
    <w:link w:val="StopkaZnak"/>
    <w:rsid w:val="00ee24f4"/>
    <w:basedOn w:val="Normal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uiPriority w:val="34"/>
    <w:qFormat/>
    <w:rsid w:val="00ee24f4"/>
    <w:basedOn w:val="Normal"/>
    <w:pPr>
      <w:spacing w:before="0" w:after="200"/>
      <w:ind w:left="720" w:right="0" w:hanging="0"/>
      <w:contextualSpacing/>
    </w:pPr>
    <w:rPr/>
  </w:style>
  <w:style w:type="paragraph" w:styleId="Wcicietrecitekstu">
    <w:name w:val="Wcięcie treści tekstu"/>
    <w:basedOn w:val="Normal"/>
    <w:pPr>
      <w:ind w:left="1416" w:right="0" w:hanging="0"/>
    </w:pPr>
    <w:rPr>
      <w:b/>
      <w:sz w:val="24"/>
    </w:rPr>
  </w:style>
  <w:style w:type="paragraph" w:styleId="Znak">
    <w:name w:val="Znak"/>
    <w:basedOn w:val="Normal"/>
    <w:pPr/>
    <w:rPr>
      <w:rFonts w:ascii="Arial" w:hAnsi="Arial" w:cs="Arial"/>
      <w:sz w:val="24"/>
      <w:szCs w:val="24"/>
    </w:rPr>
  </w:style>
  <w:style w:type="paragraph" w:styleId="Znak1">
    <w:name w:val=" Znak"/>
    <w:basedOn w:val="Normal"/>
    <w:pPr/>
    <w:rPr>
      <w:rFonts w:ascii="Arial" w:hAnsi="Arial" w:cs="Arial"/>
      <w:sz w:val="24"/>
      <w:szCs w:val="24"/>
    </w:rPr>
  </w:style>
  <w:style w:type="paragraph" w:styleId="Zawartotabeli">
    <w:name w:val="Zawartość tabeli"/>
    <w:basedOn w:val="Normal"/>
    <w:pPr/>
    <w:rPr/>
  </w:style>
  <w:style w:type="paragraph" w:styleId="Nagwektabeli">
    <w:name w:val="Nagłówek tabeli"/>
    <w:basedOn w:val="Zawartotabeli"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</w:style>
  <w:style w:type="numbering" w:styleId="WW8Num1">
    <w:name w:val="WW8Num1"/>
  </w:style>
  <w:style w:type="numbering" w:styleId="WW8Num2">
    <w:name w:val="WW8Num2"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2018-06-05T11:47:00Z</dcterms:created>
  <dc:creator>Piotr Michniewicz</dc:creator>
  <dc:language>pl-PL</dc:language>
  <cp:lastModifiedBy>Your User Name</cp:lastModifiedBy>
  <dcterms:modified xsi:type="dcterms:W3CDTF">2018-09-21T10:03:00Z</dcterms:modified>
  <cp:revision>4</cp:revision>
</cp:coreProperties>
</file>